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B0A" w:rsidRPr="00EB58EF" w:rsidRDefault="00414AFD" w:rsidP="00EB58EF">
      <w:pPr>
        <w:spacing w:after="0" w:line="240" w:lineRule="auto"/>
        <w:jc w:val="center"/>
        <w:rPr>
          <w:b/>
          <w:smallCaps/>
          <w:sz w:val="32"/>
          <w:szCs w:val="32"/>
        </w:rPr>
      </w:pPr>
      <w:r w:rsidRPr="00EB58EF">
        <w:rPr>
          <w:b/>
          <w:smallCaps/>
          <w:sz w:val="32"/>
          <w:szCs w:val="32"/>
        </w:rPr>
        <w:t>Science 9</w:t>
      </w:r>
    </w:p>
    <w:p w:rsidR="00EB58EF" w:rsidRPr="00EB58EF" w:rsidRDefault="00F77326" w:rsidP="00EB58EF">
      <w:pPr>
        <w:spacing w:after="0" w:line="240" w:lineRule="auto"/>
        <w:jc w:val="center"/>
        <w:rPr>
          <w:b/>
          <w:smallCaps/>
          <w:sz w:val="32"/>
          <w:szCs w:val="32"/>
        </w:rPr>
      </w:pPr>
      <w:r>
        <w:rPr>
          <w:b/>
          <w:smallCaps/>
          <w:sz w:val="32"/>
          <w:szCs w:val="32"/>
        </w:rPr>
        <w:t>Household Electrical Energy</w:t>
      </w:r>
    </w:p>
    <w:p w:rsidR="00EB58EF" w:rsidRDefault="00EB58EF" w:rsidP="00414AFD">
      <w:pPr>
        <w:spacing w:after="0" w:line="240" w:lineRule="auto"/>
      </w:pPr>
    </w:p>
    <w:p w:rsidR="00AF3492" w:rsidRPr="00F77326" w:rsidRDefault="00F77326" w:rsidP="0039058A">
      <w:pPr>
        <w:spacing w:after="0" w:line="240" w:lineRule="auto"/>
        <w:rPr>
          <w:rFonts w:eastAsiaTheme="minorEastAsia"/>
          <w:b/>
        </w:rPr>
      </w:pPr>
      <w:r w:rsidRPr="00F77326">
        <w:rPr>
          <w:rFonts w:eastAsiaTheme="minorEastAsia"/>
          <w:b/>
        </w:rPr>
        <w:t>The Electric Meter</w:t>
      </w:r>
    </w:p>
    <w:p w:rsidR="00F77326" w:rsidRDefault="00F77326" w:rsidP="0039058A">
      <w:pPr>
        <w:spacing w:after="0" w:line="240" w:lineRule="auto"/>
        <w:rPr>
          <w:rFonts w:eastAsiaTheme="minorEastAsia"/>
        </w:rPr>
      </w:pPr>
    </w:p>
    <w:p w:rsidR="00F77326" w:rsidRDefault="00F77326" w:rsidP="00766AE9">
      <w:pPr>
        <w:spacing w:after="0" w:line="240" w:lineRule="auto"/>
      </w:pPr>
      <w:r>
        <w:t>The electric meter was developed so that the amount of electrical energy being used by a house could be accurately measured and charged for by the company supplying the electrical energy.</w:t>
      </w:r>
      <w:r w:rsidR="00766AE9">
        <w:t xml:space="preserve">  </w:t>
      </w:r>
      <w:r>
        <w:t>El</w:t>
      </w:r>
      <w:r w:rsidR="00766AE9">
        <w:t xml:space="preserve">ectric meters measures electric energy use in </w:t>
      </w:r>
      <w:proofErr w:type="spellStart"/>
      <w:r w:rsidR="00766AE9">
        <w:t>watt·hours</w:t>
      </w:r>
      <w:proofErr w:type="spellEnd"/>
      <w:r w:rsidR="00766AE9">
        <w:t xml:space="preserve"> based on the equation:</w:t>
      </w:r>
    </w:p>
    <w:p w:rsidR="00766AE9" w:rsidRDefault="00766AE9" w:rsidP="00766AE9">
      <w:pPr>
        <w:pStyle w:val="ListParagraph"/>
        <w:spacing w:after="0" w:line="240" w:lineRule="auto"/>
        <w:ind w:left="360"/>
      </w:pPr>
      <m:oMathPara>
        <m:oMath>
          <m:r>
            <w:rPr>
              <w:rFonts w:ascii="Cambria Math" w:hAnsi="Cambria Math"/>
            </w:rPr>
            <m:t>∆E=P×∆t</m:t>
          </m:r>
        </m:oMath>
      </m:oMathPara>
    </w:p>
    <w:p w:rsidR="00766AE9" w:rsidRDefault="00766AE9" w:rsidP="00766AE9">
      <w:pPr>
        <w:spacing w:after="0" w:line="240" w:lineRule="auto"/>
      </w:pPr>
      <w:r>
        <w:t xml:space="preserve">How much energy is a </w:t>
      </w:r>
      <w:proofErr w:type="spellStart"/>
      <w:r>
        <w:t>kilowatt·hour</w:t>
      </w:r>
      <w:proofErr w:type="spellEnd"/>
      <w:r>
        <w:t>?</w:t>
      </w:r>
    </w:p>
    <w:p w:rsidR="00766AE9" w:rsidRDefault="00766AE9" w:rsidP="0039058A">
      <w:pPr>
        <w:spacing w:after="0" w:line="240" w:lineRule="auto"/>
      </w:pPr>
      <m:oMathPara>
        <m:oMath>
          <m:r>
            <w:rPr>
              <w:rFonts w:ascii="Cambria Math" w:hAnsi="Cambria Math"/>
            </w:rPr>
            <m:t>1 kW∙h×</m:t>
          </m:r>
          <m:f>
            <m:fPr>
              <m:ctrlPr>
                <w:rPr>
                  <w:rFonts w:ascii="Cambria Math" w:hAnsi="Cambria Math"/>
                  <w:i/>
                </w:rPr>
              </m:ctrlPr>
            </m:fPr>
            <m:num>
              <m:r>
                <w:rPr>
                  <w:rFonts w:ascii="Cambria Math" w:hAnsi="Cambria Math"/>
                </w:rPr>
                <m:t>1000W</m:t>
              </m:r>
            </m:num>
            <m:den>
              <m:r>
                <w:rPr>
                  <w:rFonts w:ascii="Cambria Math" w:hAnsi="Cambria Math"/>
                </w:rPr>
                <m:t>kW</m:t>
              </m:r>
            </m:den>
          </m:f>
          <m:r>
            <w:rPr>
              <w:rFonts w:ascii="Cambria Math" w:hAnsi="Cambria Math"/>
            </w:rPr>
            <m:t>×</m:t>
          </m:r>
          <m:f>
            <m:fPr>
              <m:ctrlPr>
                <w:rPr>
                  <w:rFonts w:ascii="Cambria Math" w:hAnsi="Cambria Math"/>
                  <w:i/>
                </w:rPr>
              </m:ctrlPr>
            </m:fPr>
            <m:num>
              <m:r>
                <w:rPr>
                  <w:rFonts w:ascii="Cambria Math" w:hAnsi="Cambria Math"/>
                </w:rPr>
                <m:t>3600 s</m:t>
              </m:r>
            </m:num>
            <m:den>
              <m:r>
                <w:rPr>
                  <w:rFonts w:ascii="Cambria Math" w:hAnsi="Cambria Math"/>
                </w:rPr>
                <m:t xml:space="preserve">1 </m:t>
              </m:r>
              <m:r>
                <w:rPr>
                  <w:rFonts w:ascii="Cambria Math" w:hAnsi="Cambria Math"/>
                </w:rPr>
                <m:t>h</m:t>
              </m:r>
            </m:den>
          </m:f>
          <m:r>
            <w:rPr>
              <w:rFonts w:ascii="Cambria Math" w:hAnsi="Cambria Math"/>
            </w:rPr>
            <m:t>=3 600 000J</m:t>
          </m:r>
        </m:oMath>
      </m:oMathPara>
    </w:p>
    <w:p w:rsidR="00766AE9" w:rsidRDefault="00766AE9" w:rsidP="0039058A">
      <w:pPr>
        <w:spacing w:after="0" w:line="240" w:lineRule="auto"/>
      </w:pPr>
    </w:p>
    <w:p w:rsidR="00766AE9" w:rsidRDefault="00766AE9" w:rsidP="0039058A">
      <w:pPr>
        <w:spacing w:after="0" w:line="240" w:lineRule="auto"/>
      </w:pPr>
      <w:r>
        <w:t xml:space="preserve">An average house in BC uses approximately 800 </w:t>
      </w:r>
      <w:proofErr w:type="spellStart"/>
      <w:r>
        <w:t>kW·h</w:t>
      </w:r>
      <w:proofErr w:type="spellEnd"/>
      <w:r>
        <w:t xml:space="preserve"> of electricity per month.</w:t>
      </w:r>
    </w:p>
    <w:p w:rsidR="00766AE9" w:rsidRDefault="00766AE9" w:rsidP="0039058A">
      <w:pPr>
        <w:spacing w:after="0" w:line="240" w:lineRule="auto"/>
      </w:pPr>
      <m:oMathPara>
        <m:oMath>
          <m:r>
            <w:rPr>
              <w:rFonts w:ascii="Cambria Math" w:hAnsi="Cambria Math"/>
            </w:rPr>
            <m:t>3 600 000J×800=2 880 000 000J or 2.88GJ</m:t>
          </m:r>
        </m:oMath>
      </m:oMathPara>
    </w:p>
    <w:p w:rsidR="00766AE9" w:rsidRDefault="00766AE9" w:rsidP="0039058A">
      <w:pPr>
        <w:spacing w:after="0" w:line="240" w:lineRule="auto"/>
      </w:pPr>
    </w:p>
    <w:p w:rsidR="00766AE9" w:rsidRDefault="00766AE9" w:rsidP="00766AE9">
      <w:pPr>
        <w:spacing w:after="0" w:line="240" w:lineRule="auto"/>
      </w:pPr>
      <w:r>
        <w:t xml:space="preserve">To simplify the reading of meters, the unit used today is the </w:t>
      </w:r>
      <w:proofErr w:type="spellStart"/>
      <w:r>
        <w:t>kilowatt·hour</w:t>
      </w:r>
      <w:proofErr w:type="spellEnd"/>
      <w:r>
        <w:t xml:space="preserve"> (</w:t>
      </w:r>
      <w:proofErr w:type="spellStart"/>
      <w:r>
        <w:t>kW·h</w:t>
      </w:r>
      <w:proofErr w:type="spellEnd"/>
      <w:r>
        <w:t>) rather than such a large number of joules.</w:t>
      </w:r>
    </w:p>
    <w:p w:rsidR="00766AE9" w:rsidRDefault="00766AE9" w:rsidP="00766AE9">
      <w:pPr>
        <w:spacing w:after="0" w:line="240" w:lineRule="auto"/>
      </w:pPr>
    </w:p>
    <w:p w:rsidR="00766AE9" w:rsidRDefault="00766AE9" w:rsidP="00766AE9">
      <w:pPr>
        <w:spacing w:after="0" w:line="240" w:lineRule="auto"/>
      </w:pPr>
      <w:r>
        <w:rPr>
          <w:b/>
        </w:rPr>
        <w:t>How to Read a Meter</w:t>
      </w:r>
    </w:p>
    <w:p w:rsidR="00766AE9" w:rsidRDefault="00766AE9" w:rsidP="00766AE9">
      <w:pPr>
        <w:spacing w:after="0" w:line="240" w:lineRule="auto"/>
      </w:pPr>
      <w:r>
        <w:t>The standard dial-type of meter is read from left to right, with the first dial representing the ten thousand place value.</w:t>
      </w:r>
    </w:p>
    <w:p w:rsidR="00FD0AED" w:rsidRDefault="00FD0AED" w:rsidP="00766AE9">
      <w:pPr>
        <w:spacing w:after="0" w:line="240" w:lineRule="auto"/>
      </w:pPr>
    </w:p>
    <w:p w:rsidR="00FD0AED" w:rsidRDefault="00A076CB" w:rsidP="00766AE9">
      <w:pPr>
        <w:spacing w:after="0" w:line="240" w:lineRule="auto"/>
      </w:pPr>
      <w:r>
        <w:rPr>
          <w:noProof/>
          <w:lang w:val="en-US"/>
        </w:rPr>
        <w:drawing>
          <wp:anchor distT="0" distB="0" distL="114300" distR="114300" simplePos="0" relativeHeight="251658240" behindDoc="1" locked="0" layoutInCell="1" allowOverlap="1">
            <wp:simplePos x="0" y="0"/>
            <wp:positionH relativeFrom="column">
              <wp:posOffset>1447800</wp:posOffset>
            </wp:positionH>
            <wp:positionV relativeFrom="paragraph">
              <wp:posOffset>58420</wp:posOffset>
            </wp:positionV>
            <wp:extent cx="3638550" cy="9715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38550" cy="971550"/>
                    </a:xfrm>
                    <a:prstGeom prst="rect">
                      <a:avLst/>
                    </a:prstGeom>
                    <a:noFill/>
                    <a:ln w="9525">
                      <a:noFill/>
                      <a:miter lim="800000"/>
                      <a:headEnd/>
                      <a:tailEnd/>
                    </a:ln>
                  </pic:spPr>
                </pic:pic>
              </a:graphicData>
            </a:graphic>
          </wp:anchor>
        </w:drawing>
      </w:r>
      <w:r w:rsidR="00FD0AED">
        <w:t>Example</w:t>
      </w:r>
      <w:r>
        <w:t xml:space="preserve"> 1</w:t>
      </w:r>
      <w:r w:rsidR="00FD0AED">
        <w:t>:</w:t>
      </w:r>
    </w:p>
    <w:p w:rsidR="00FD0AED" w:rsidRDefault="00FD0AED" w:rsidP="00766AE9">
      <w:pPr>
        <w:spacing w:after="0" w:line="240" w:lineRule="auto"/>
      </w:pPr>
    </w:p>
    <w:p w:rsidR="00FD0AED" w:rsidRDefault="00FD0AED" w:rsidP="00766AE9">
      <w:pPr>
        <w:spacing w:after="0" w:line="240" w:lineRule="auto"/>
      </w:pPr>
    </w:p>
    <w:p w:rsidR="00FD0AED" w:rsidRDefault="00FD0AED" w:rsidP="00766AE9">
      <w:pPr>
        <w:spacing w:after="0" w:line="240" w:lineRule="auto"/>
      </w:pPr>
    </w:p>
    <w:p w:rsidR="00FD0AED" w:rsidRDefault="00FD0AED" w:rsidP="00766AE9">
      <w:pPr>
        <w:spacing w:after="0" w:line="240" w:lineRule="auto"/>
      </w:pPr>
    </w:p>
    <w:p w:rsidR="00FD0AED" w:rsidRPr="00766AE9" w:rsidRDefault="00FD0AED" w:rsidP="00766AE9">
      <w:pPr>
        <w:spacing w:after="0" w:line="240" w:lineRule="auto"/>
      </w:pPr>
    </w:p>
    <w:p w:rsidR="00766AE9" w:rsidRDefault="009E4759" w:rsidP="00A076CB">
      <w:pPr>
        <w:spacing w:after="0" w:line="240" w:lineRule="auto"/>
        <w:ind w:left="2160" w:firstLine="720"/>
      </w:pPr>
      <w:r>
        <w:t>1</w:t>
      </w:r>
      <w:r>
        <w:tab/>
        <w:t xml:space="preserve">       5</w:t>
      </w:r>
      <w:r>
        <w:tab/>
      </w:r>
      <w:r>
        <w:tab/>
        <w:t>9</w:t>
      </w:r>
      <w:r>
        <w:tab/>
        <w:t xml:space="preserve">        6</w:t>
      </w:r>
      <w:r>
        <w:tab/>
        <w:t xml:space="preserve"> </w:t>
      </w:r>
      <w:r>
        <w:tab/>
        <w:t xml:space="preserve"> 4</w:t>
      </w:r>
    </w:p>
    <w:p w:rsidR="00766AE9" w:rsidRDefault="00766AE9" w:rsidP="0039058A">
      <w:pPr>
        <w:spacing w:after="0" w:line="240" w:lineRule="auto"/>
      </w:pPr>
    </w:p>
    <w:p w:rsidR="009E4759" w:rsidRDefault="009E4759" w:rsidP="0039058A">
      <w:pPr>
        <w:spacing w:after="0" w:line="240" w:lineRule="auto"/>
      </w:pPr>
    </w:p>
    <w:p w:rsidR="009E4759" w:rsidRDefault="009E4759" w:rsidP="0039058A">
      <w:pPr>
        <w:spacing w:after="0" w:line="240" w:lineRule="auto"/>
        <w:rPr>
          <w:rFonts w:ascii="Arial" w:hAnsi="Arial" w:cs="Arial"/>
          <w:sz w:val="20"/>
          <w:szCs w:val="20"/>
        </w:rPr>
      </w:pPr>
      <w:r>
        <w:t>Example</w:t>
      </w:r>
      <w:r w:rsidR="00A076CB">
        <w:t xml:space="preserve"> 2</w:t>
      </w:r>
      <w:r>
        <w:t>:</w:t>
      </w:r>
      <w:r w:rsidRPr="009E4759">
        <w:rPr>
          <w:rFonts w:ascii="Arial" w:hAnsi="Arial" w:cs="Arial"/>
          <w:sz w:val="20"/>
          <w:szCs w:val="20"/>
        </w:rPr>
        <w:t xml:space="preserve"> </w:t>
      </w:r>
      <w:r>
        <w:rPr>
          <w:rFonts w:ascii="Arial" w:hAnsi="Arial" w:cs="Arial"/>
          <w:noProof/>
          <w:sz w:val="20"/>
          <w:szCs w:val="20"/>
          <w:lang w:val="en-US"/>
        </w:rPr>
        <w:drawing>
          <wp:inline distT="0" distB="0" distL="0" distR="0">
            <wp:extent cx="5800725" cy="1209675"/>
            <wp:effectExtent l="19050" t="0" r="9525" b="0"/>
            <wp:docPr id="4" name="il_fi" descr="http://msnucleus.org/membership/html/k-6/as/technology/3/images/as3b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snucleus.org/membership/html/k-6/as/technology/3/images/as3b07.gif"/>
                    <pic:cNvPicPr>
                      <a:picLocks noChangeAspect="1" noChangeArrowheads="1"/>
                    </pic:cNvPicPr>
                  </pic:nvPicPr>
                  <pic:blipFill>
                    <a:blip r:embed="rId9" cstate="print"/>
                    <a:srcRect/>
                    <a:stretch>
                      <a:fillRect/>
                    </a:stretch>
                  </pic:blipFill>
                  <pic:spPr bwMode="auto">
                    <a:xfrm>
                      <a:off x="0" y="0"/>
                      <a:ext cx="5800725" cy="1209675"/>
                    </a:xfrm>
                    <a:prstGeom prst="rect">
                      <a:avLst/>
                    </a:prstGeom>
                    <a:noFill/>
                    <a:ln w="9525">
                      <a:noFill/>
                      <a:miter lim="800000"/>
                      <a:headEnd/>
                      <a:tailEnd/>
                    </a:ln>
                  </pic:spPr>
                </pic:pic>
              </a:graphicData>
            </a:graphic>
          </wp:inline>
        </w:drawing>
      </w:r>
    </w:p>
    <w:p w:rsidR="009E4759" w:rsidRDefault="009E4759" w:rsidP="0039058A">
      <w:pPr>
        <w:spacing w:after="0" w:line="240" w:lineRule="auto"/>
        <w:rPr>
          <w:rFonts w:ascii="Arial" w:hAnsi="Arial" w:cs="Arial"/>
          <w:sz w:val="20"/>
          <w:szCs w:val="20"/>
        </w:rPr>
      </w:pPr>
    </w:p>
    <w:p w:rsidR="009E4759" w:rsidRDefault="009E4759" w:rsidP="009E4759">
      <w:pPr>
        <w:spacing w:after="0" w:line="240" w:lineRule="auto"/>
        <w:ind w:firstLine="720"/>
        <w:rPr>
          <w:rFonts w:ascii="Arial" w:hAnsi="Arial" w:cs="Arial"/>
          <w:sz w:val="20"/>
          <w:szCs w:val="20"/>
        </w:rPr>
      </w:pPr>
      <w:r>
        <w:rPr>
          <w:rFonts w:ascii="Arial" w:hAnsi="Arial" w:cs="Arial"/>
          <w:sz w:val="20"/>
          <w:szCs w:val="20"/>
        </w:rPr>
        <w:t xml:space="preserve">      0</w:t>
      </w:r>
      <w:r>
        <w:rPr>
          <w:rFonts w:ascii="Arial" w:hAnsi="Arial" w:cs="Arial"/>
          <w:sz w:val="20"/>
          <w:szCs w:val="20"/>
        </w:rPr>
        <w:tab/>
      </w:r>
      <w:r>
        <w:rPr>
          <w:rFonts w:ascii="Arial" w:hAnsi="Arial" w:cs="Arial"/>
          <w:sz w:val="20"/>
          <w:szCs w:val="20"/>
        </w:rPr>
        <w:tab/>
      </w:r>
      <w:r>
        <w:rPr>
          <w:rFonts w:ascii="Arial" w:hAnsi="Arial" w:cs="Arial"/>
          <w:sz w:val="20"/>
          <w:szCs w:val="20"/>
        </w:rPr>
        <w:tab/>
        <w:t>4</w:t>
      </w:r>
      <w:r>
        <w:rPr>
          <w:rFonts w:ascii="Arial" w:hAnsi="Arial" w:cs="Arial"/>
          <w:sz w:val="20"/>
          <w:szCs w:val="20"/>
        </w:rPr>
        <w:tab/>
      </w:r>
      <w:r>
        <w:rPr>
          <w:rFonts w:ascii="Arial" w:hAnsi="Arial" w:cs="Arial"/>
          <w:sz w:val="20"/>
          <w:szCs w:val="20"/>
        </w:rPr>
        <w:tab/>
        <w:t xml:space="preserve">    2</w:t>
      </w:r>
      <w:r>
        <w:rPr>
          <w:rFonts w:ascii="Arial" w:hAnsi="Arial" w:cs="Arial"/>
          <w:sz w:val="20"/>
          <w:szCs w:val="20"/>
        </w:rPr>
        <w:tab/>
      </w:r>
      <w:r>
        <w:rPr>
          <w:rFonts w:ascii="Arial" w:hAnsi="Arial" w:cs="Arial"/>
          <w:sz w:val="20"/>
          <w:szCs w:val="20"/>
        </w:rPr>
        <w:tab/>
        <w:t xml:space="preserve">          1</w:t>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 xml:space="preserve">  4</w:t>
      </w:r>
    </w:p>
    <w:p w:rsidR="009E4759" w:rsidRDefault="009E4759" w:rsidP="0039058A">
      <w:pPr>
        <w:spacing w:after="0" w:line="240" w:lineRule="auto"/>
        <w:rPr>
          <w:rFonts w:ascii="Arial" w:hAnsi="Arial" w:cs="Arial"/>
          <w:sz w:val="20"/>
          <w:szCs w:val="20"/>
        </w:rPr>
      </w:pPr>
    </w:p>
    <w:p w:rsidR="009E4759" w:rsidRDefault="009E4759" w:rsidP="0039058A">
      <w:pPr>
        <w:spacing w:after="0" w:line="240" w:lineRule="auto"/>
        <w:rPr>
          <w:rFonts w:ascii="Arial" w:hAnsi="Arial" w:cs="Arial"/>
          <w:sz w:val="20"/>
          <w:szCs w:val="20"/>
        </w:rPr>
      </w:pPr>
      <w:r>
        <w:rPr>
          <w:rFonts w:ascii="Arial" w:hAnsi="Arial" w:cs="Arial"/>
          <w:sz w:val="20"/>
          <w:szCs w:val="20"/>
        </w:rPr>
        <w:t>Electric meters are not reset each time they are read.  Instead, the previous reading is subtracted from the current reading to determine how much electrical energy was used.  By knowing how much electrical energy a household uses, a rate can be applied to calculate a cost for the use of the electrical energy.</w:t>
      </w:r>
    </w:p>
    <w:p w:rsidR="009E4759" w:rsidRDefault="009E4759" w:rsidP="0039058A">
      <w:pPr>
        <w:spacing w:after="0" w:line="240" w:lineRule="auto"/>
        <w:rPr>
          <w:rFonts w:ascii="Arial" w:hAnsi="Arial" w:cs="Arial"/>
          <w:sz w:val="20"/>
          <w:szCs w:val="20"/>
        </w:rPr>
      </w:pPr>
    </w:p>
    <w:p w:rsidR="009E4759" w:rsidRDefault="009E4759" w:rsidP="0039058A">
      <w:pPr>
        <w:spacing w:after="0" w:line="240" w:lineRule="auto"/>
        <w:rPr>
          <w:rFonts w:ascii="Arial" w:hAnsi="Arial" w:cs="Arial"/>
          <w:sz w:val="20"/>
          <w:szCs w:val="20"/>
        </w:rPr>
      </w:pPr>
    </w:p>
    <w:p w:rsidR="009E4759" w:rsidRDefault="009E4759" w:rsidP="0039058A">
      <w:pPr>
        <w:spacing w:after="0" w:line="240" w:lineRule="auto"/>
        <w:rPr>
          <w:rFonts w:ascii="Arial" w:hAnsi="Arial" w:cs="Arial"/>
          <w:sz w:val="20"/>
          <w:szCs w:val="20"/>
        </w:rPr>
      </w:pPr>
      <w:r>
        <w:rPr>
          <w:rFonts w:ascii="Arial" w:hAnsi="Arial" w:cs="Arial"/>
          <w:sz w:val="20"/>
          <w:szCs w:val="20"/>
        </w:rPr>
        <w:lastRenderedPageBreak/>
        <w:t>Example</w:t>
      </w:r>
      <w:r w:rsidR="00A076CB">
        <w:rPr>
          <w:rFonts w:ascii="Arial" w:hAnsi="Arial" w:cs="Arial"/>
          <w:sz w:val="20"/>
          <w:szCs w:val="20"/>
        </w:rPr>
        <w:t xml:space="preserve"> 3</w:t>
      </w:r>
      <w:r>
        <w:rPr>
          <w:rFonts w:ascii="Arial" w:hAnsi="Arial" w:cs="Arial"/>
          <w:sz w:val="20"/>
          <w:szCs w:val="20"/>
        </w:rPr>
        <w:t>:</w:t>
      </w:r>
      <w:r w:rsidR="00A076CB">
        <w:rPr>
          <w:rFonts w:ascii="Arial" w:hAnsi="Arial" w:cs="Arial"/>
          <w:sz w:val="20"/>
          <w:szCs w:val="20"/>
        </w:rPr>
        <w:t xml:space="preserve">  The reading of the electric meter from example 1 was read at 14 834 </w:t>
      </w:r>
      <w:proofErr w:type="spellStart"/>
      <w:r w:rsidR="00A076CB">
        <w:rPr>
          <w:rFonts w:ascii="Arial" w:hAnsi="Arial" w:cs="Arial"/>
          <w:sz w:val="20"/>
          <w:szCs w:val="20"/>
        </w:rPr>
        <w:t>kW·h</w:t>
      </w:r>
      <w:proofErr w:type="spellEnd"/>
      <w:r w:rsidR="00A076CB">
        <w:rPr>
          <w:rFonts w:ascii="Arial" w:hAnsi="Arial" w:cs="Arial"/>
          <w:sz w:val="20"/>
          <w:szCs w:val="20"/>
        </w:rPr>
        <w:t xml:space="preserve"> one month earlier.  If the cost of electricity is $0.0667/</w:t>
      </w:r>
      <w:r w:rsidR="00A076CB" w:rsidRPr="00A076CB">
        <w:rPr>
          <w:rFonts w:ascii="Arial" w:hAnsi="Arial" w:cs="Arial"/>
          <w:sz w:val="20"/>
          <w:szCs w:val="20"/>
        </w:rPr>
        <w:t xml:space="preserve"> </w:t>
      </w:r>
      <w:proofErr w:type="spellStart"/>
      <w:r w:rsidR="00A076CB">
        <w:rPr>
          <w:rFonts w:ascii="Arial" w:hAnsi="Arial" w:cs="Arial"/>
          <w:sz w:val="20"/>
          <w:szCs w:val="20"/>
        </w:rPr>
        <w:t>kW·h</w:t>
      </w:r>
      <w:proofErr w:type="spellEnd"/>
      <w:r w:rsidR="00A076CB">
        <w:rPr>
          <w:rFonts w:ascii="Arial" w:hAnsi="Arial" w:cs="Arial"/>
          <w:sz w:val="20"/>
          <w:szCs w:val="20"/>
        </w:rPr>
        <w:t>, what is the total amount billed?</w:t>
      </w:r>
    </w:p>
    <w:p w:rsidR="00A076CB" w:rsidRDefault="00A076CB" w:rsidP="0039058A">
      <w:pPr>
        <w:spacing w:after="0" w:line="240" w:lineRule="auto"/>
        <w:rPr>
          <w:rFonts w:ascii="Arial" w:hAnsi="Arial" w:cs="Arial"/>
          <w:sz w:val="20"/>
          <w:szCs w:val="20"/>
        </w:rPr>
      </w:pPr>
    </w:p>
    <w:p w:rsidR="009E4759" w:rsidRDefault="00A076CB" w:rsidP="0039058A">
      <w:pPr>
        <w:spacing w:after="0" w:line="240" w:lineRule="auto"/>
        <w:rPr>
          <w:rFonts w:eastAsiaTheme="minorEastAsia"/>
        </w:rPr>
      </w:pPr>
      <m:oMathPara>
        <m:oMath>
          <m:r>
            <w:rPr>
              <w:rFonts w:ascii="Cambria Math" w:hAnsi="Cambria Math"/>
            </w:rPr>
            <m:t>15 964kW∙h-14 834kW∙h=1130kW∙h</m:t>
          </m:r>
        </m:oMath>
      </m:oMathPara>
    </w:p>
    <w:p w:rsidR="00A076CB" w:rsidRDefault="00A076CB" w:rsidP="0039058A">
      <w:pPr>
        <w:spacing w:after="0" w:line="240" w:lineRule="auto"/>
        <w:rPr>
          <w:rFonts w:eastAsiaTheme="minorEastAsia"/>
        </w:rPr>
      </w:pPr>
    </w:p>
    <w:p w:rsidR="00A076CB" w:rsidRDefault="00A076CB" w:rsidP="0039058A">
      <w:pPr>
        <w:spacing w:after="0" w:line="240" w:lineRule="auto"/>
        <w:rPr>
          <w:rFonts w:eastAsiaTheme="minorEastAsia"/>
        </w:rPr>
      </w:pPr>
      <m:oMathPara>
        <m:oMath>
          <m:r>
            <w:rPr>
              <w:rFonts w:ascii="Cambria Math" w:hAnsi="Cambria Math"/>
            </w:rPr>
            <m:t>1130kW∙h×</m:t>
          </m:r>
          <m:f>
            <m:fPr>
              <m:ctrlPr>
                <w:rPr>
                  <w:rFonts w:ascii="Cambria Math" w:hAnsi="Cambria Math"/>
                  <w:i/>
                </w:rPr>
              </m:ctrlPr>
            </m:fPr>
            <m:num>
              <m:r>
                <w:rPr>
                  <w:rFonts w:ascii="Cambria Math" w:hAnsi="Cambria Math"/>
                </w:rPr>
                <m:t>$0.0667</m:t>
              </m:r>
            </m:num>
            <m:den>
              <m:r>
                <w:rPr>
                  <w:rFonts w:ascii="Cambria Math" w:hAnsi="Cambria Math"/>
                </w:rPr>
                <m:t>kW∙h</m:t>
              </m:r>
            </m:den>
          </m:f>
          <m:r>
            <w:rPr>
              <w:rFonts w:ascii="Cambria Math" w:hAnsi="Cambria Math"/>
            </w:rPr>
            <m:t>=$75.37</m:t>
          </m:r>
        </m:oMath>
      </m:oMathPara>
    </w:p>
    <w:p w:rsidR="00A076CB" w:rsidRDefault="00A076CB" w:rsidP="0039058A">
      <w:pPr>
        <w:spacing w:after="0" w:line="240" w:lineRule="auto"/>
        <w:rPr>
          <w:rFonts w:eastAsiaTheme="minorEastAsia"/>
        </w:rPr>
      </w:pPr>
    </w:p>
    <w:p w:rsidR="00A076CB" w:rsidRDefault="00A076CB" w:rsidP="0039058A">
      <w:pPr>
        <w:spacing w:after="0" w:line="240" w:lineRule="auto"/>
        <w:rPr>
          <w:rFonts w:eastAsiaTheme="minorEastAsia"/>
        </w:rPr>
      </w:pPr>
      <w:r>
        <w:rPr>
          <w:rFonts w:eastAsiaTheme="minorEastAsia"/>
        </w:rPr>
        <w:t>Example 4:  Practice problem pg. 352</w:t>
      </w:r>
    </w:p>
    <w:p w:rsidR="00A076CB" w:rsidRDefault="00D86E85" w:rsidP="0039058A">
      <w:pPr>
        <w:spacing w:after="0" w:line="240" w:lineRule="auto"/>
        <w:rPr>
          <w:rFonts w:eastAsiaTheme="minorEastAsia"/>
        </w:rPr>
      </w:pPr>
      <m:oMathPara>
        <m:oMath>
          <m:r>
            <w:rPr>
              <w:rFonts w:ascii="Cambria Math" w:hAnsi="Cambria Math"/>
            </w:rPr>
            <m:t>65 893kW∙h-65 372kW∙h=521kW∙h</m:t>
          </m:r>
        </m:oMath>
      </m:oMathPara>
    </w:p>
    <w:p w:rsidR="00D86E85" w:rsidRDefault="00D86E85" w:rsidP="0039058A">
      <w:pPr>
        <w:spacing w:after="0" w:line="240" w:lineRule="auto"/>
        <w:rPr>
          <w:rFonts w:eastAsiaTheme="minorEastAsia"/>
        </w:rPr>
      </w:pPr>
      <m:oMathPara>
        <m:oMath>
          <m:r>
            <w:rPr>
              <w:rFonts w:ascii="Cambria Math" w:hAnsi="Cambria Math"/>
            </w:rPr>
            <m:t>521kW∙h×</m:t>
          </m:r>
          <m:f>
            <m:fPr>
              <m:ctrlPr>
                <w:rPr>
                  <w:rFonts w:ascii="Cambria Math" w:hAnsi="Cambria Math"/>
                  <w:i/>
                </w:rPr>
              </m:ctrlPr>
            </m:fPr>
            <m:num>
              <m:r>
                <w:rPr>
                  <w:rFonts w:ascii="Cambria Math" w:hAnsi="Cambria Math"/>
                </w:rPr>
                <m:t>$0.065</m:t>
              </m:r>
            </m:num>
            <m:den>
              <m:r>
                <w:rPr>
                  <w:rFonts w:ascii="Cambria Math" w:hAnsi="Cambria Math"/>
                </w:rPr>
                <m:t>kW∙h</m:t>
              </m:r>
            </m:den>
          </m:f>
          <m:r>
            <w:rPr>
              <w:rFonts w:ascii="Cambria Math" w:hAnsi="Cambria Math"/>
            </w:rPr>
            <m:t>=$33.87</m:t>
          </m:r>
        </m:oMath>
      </m:oMathPara>
    </w:p>
    <w:p w:rsidR="00D86E85" w:rsidRDefault="00D86E85" w:rsidP="0039058A">
      <w:pPr>
        <w:spacing w:after="0" w:line="240" w:lineRule="auto"/>
        <w:rPr>
          <w:rFonts w:eastAsiaTheme="minorEastAsia"/>
        </w:rPr>
      </w:pPr>
    </w:p>
    <w:p w:rsidR="00D86E85" w:rsidRDefault="00D86E85" w:rsidP="0039058A">
      <w:pPr>
        <w:spacing w:after="0" w:line="240" w:lineRule="auto"/>
        <w:rPr>
          <w:rFonts w:eastAsiaTheme="minorEastAsia"/>
        </w:rPr>
      </w:pPr>
      <w:proofErr w:type="spellStart"/>
      <w:r>
        <w:rPr>
          <w:rFonts w:eastAsiaTheme="minorEastAsia"/>
          <w:b/>
        </w:rPr>
        <w:t>EnerGuide</w:t>
      </w:r>
      <w:proofErr w:type="spellEnd"/>
      <w:r>
        <w:rPr>
          <w:rFonts w:eastAsiaTheme="minorEastAsia"/>
          <w:b/>
        </w:rPr>
        <w:t xml:space="preserve"> Labels</w:t>
      </w:r>
    </w:p>
    <w:p w:rsidR="00D86E85" w:rsidRDefault="00D86E85" w:rsidP="0039058A">
      <w:pPr>
        <w:spacing w:after="0" w:line="240" w:lineRule="auto"/>
        <w:rPr>
          <w:rFonts w:eastAsiaTheme="minorEastAsia"/>
        </w:rPr>
      </w:pPr>
      <w:r>
        <w:rPr>
          <w:rFonts w:eastAsiaTheme="minorEastAsia"/>
        </w:rPr>
        <w:t xml:space="preserve">All household appliances sold today in Canada must have an </w:t>
      </w:r>
      <w:proofErr w:type="spellStart"/>
      <w:r>
        <w:rPr>
          <w:rFonts w:eastAsiaTheme="minorEastAsia"/>
        </w:rPr>
        <w:t>EnerGuide</w:t>
      </w:r>
      <w:proofErr w:type="spellEnd"/>
      <w:r>
        <w:rPr>
          <w:rFonts w:eastAsiaTheme="minorEastAsia"/>
        </w:rPr>
        <w:t xml:space="preserve"> label that outlines the appliance’s electrical energy usage and efficiency.  The label provides the public with an estimate of how much electrical energy that appliance will use in a year based on a standardized level of use.  This allows the consumer to make an educated decision on which appliance they will purchase.</w:t>
      </w:r>
    </w:p>
    <w:p w:rsidR="00D86E85" w:rsidRDefault="00D86E85" w:rsidP="0039058A">
      <w:pPr>
        <w:spacing w:after="0" w:line="240" w:lineRule="auto"/>
        <w:rPr>
          <w:rFonts w:eastAsiaTheme="minorEastAsia"/>
        </w:rPr>
      </w:pPr>
    </w:p>
    <w:p w:rsidR="00D86E85" w:rsidRPr="00D86E85" w:rsidRDefault="00D86E85" w:rsidP="0039058A">
      <w:pPr>
        <w:spacing w:after="0" w:line="240" w:lineRule="auto"/>
      </w:pPr>
      <w:r>
        <w:rPr>
          <w:rFonts w:eastAsiaTheme="minorEastAsia"/>
          <w:noProof/>
          <w:lang w:val="en-US"/>
        </w:rPr>
        <w:drawing>
          <wp:anchor distT="0" distB="0" distL="114300" distR="114300" simplePos="0" relativeHeight="251659264" behindDoc="1" locked="0" layoutInCell="1" allowOverlap="1">
            <wp:simplePos x="0" y="0"/>
            <wp:positionH relativeFrom="column">
              <wp:posOffset>571500</wp:posOffset>
            </wp:positionH>
            <wp:positionV relativeFrom="paragraph">
              <wp:posOffset>3175</wp:posOffset>
            </wp:positionV>
            <wp:extent cx="2590800" cy="2877820"/>
            <wp:effectExtent l="19050" t="0" r="0" b="0"/>
            <wp:wrapNone/>
            <wp:docPr id="7" name="Picture 7" descr="http://www.green3dhome.com/Portals/298/energui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green3dhome.com/Portals/298/energuide.jpg"/>
                    <pic:cNvPicPr>
                      <a:picLocks noChangeAspect="1" noChangeArrowheads="1"/>
                    </pic:cNvPicPr>
                  </pic:nvPicPr>
                  <pic:blipFill>
                    <a:blip r:embed="rId10" cstate="print"/>
                    <a:srcRect/>
                    <a:stretch>
                      <a:fillRect/>
                    </a:stretch>
                  </pic:blipFill>
                  <pic:spPr bwMode="auto">
                    <a:xfrm>
                      <a:off x="0" y="0"/>
                      <a:ext cx="2590800" cy="2877820"/>
                    </a:xfrm>
                    <a:prstGeom prst="rect">
                      <a:avLst/>
                    </a:prstGeom>
                    <a:noFill/>
                    <a:ln w="9525">
                      <a:noFill/>
                      <a:miter lim="800000"/>
                      <a:headEnd/>
                      <a:tailEnd/>
                    </a:ln>
                  </pic:spPr>
                </pic:pic>
              </a:graphicData>
            </a:graphic>
          </wp:anchor>
        </w:drawing>
      </w:r>
      <w:r>
        <w:rPr>
          <w:rFonts w:eastAsiaTheme="minorEastAsia"/>
        </w:rPr>
        <w:t xml:space="preserve">Example: </w:t>
      </w:r>
    </w:p>
    <w:p w:rsidR="00766AE9" w:rsidRDefault="00D86E85" w:rsidP="0039058A">
      <w:pPr>
        <w:spacing w:after="0" w:line="240" w:lineRule="auto"/>
      </w:pPr>
      <w:r>
        <w:rPr>
          <w:noProof/>
          <w:lang w:eastAsia="zh-TW"/>
        </w:rPr>
        <w:pict>
          <v:shapetype id="_x0000_t202" coordsize="21600,21600" o:spt="202" path="m,l,21600r21600,l21600,xe">
            <v:stroke joinstyle="miter"/>
            <v:path gradientshapeok="t" o:connecttype="rect"/>
          </v:shapetype>
          <v:shape id="_x0000_s1027" type="#_x0000_t202" style="position:absolute;margin-left:270.55pt;margin-top:.3pt;width:186.35pt;height:110.6pt;z-index:251661312;mso-width-percent:400;mso-height-percent:200;mso-width-percent:400;mso-height-percent:200;mso-width-relative:margin;mso-height-relative:margin" stroked="f">
            <v:textbox style="mso-fit-shape-to-text:t">
              <w:txbxContent>
                <w:p w:rsidR="00D86E85" w:rsidRDefault="00D86E85" w:rsidP="00D86E85">
                  <w:pPr>
                    <w:pStyle w:val="ListParagraph"/>
                    <w:numPr>
                      <w:ilvl w:val="0"/>
                      <w:numId w:val="9"/>
                    </w:numPr>
                    <w:ind w:left="360"/>
                  </w:pPr>
                  <w:r>
                    <w:t>The estimated amount of energy this appliance will use in a year.</w:t>
                  </w:r>
                </w:p>
                <w:p w:rsidR="00D86E85" w:rsidRDefault="00D86E85" w:rsidP="00D86E85">
                  <w:pPr>
                    <w:pStyle w:val="ListParagraph"/>
                    <w:numPr>
                      <w:ilvl w:val="0"/>
                      <w:numId w:val="9"/>
                    </w:numPr>
                    <w:ind w:left="360"/>
                  </w:pPr>
                  <w:r>
                    <w:t>Arrow indicates how this model compares to other similar models.</w:t>
                  </w:r>
                  <w:r w:rsidR="00AD328C">
                    <w:t xml:space="preserve">  The further to the left the arrow is, the more efficient the appliance is and the cheaper it is to run.</w:t>
                  </w:r>
                </w:p>
                <w:p w:rsidR="00D86E85" w:rsidRDefault="00D86E85" w:rsidP="00D86E85">
                  <w:pPr>
                    <w:pStyle w:val="ListParagraph"/>
                    <w:numPr>
                      <w:ilvl w:val="0"/>
                      <w:numId w:val="9"/>
                    </w:numPr>
                    <w:ind w:left="360"/>
                  </w:pPr>
                  <w:r>
                    <w:t>Bar shows the range of energy usage of comparable models</w:t>
                  </w:r>
                  <w:r w:rsidR="00AD328C">
                    <w:t xml:space="preserve"> – the most efficient model uses 564kW·h and the least efficient uses 972 </w:t>
                  </w:r>
                  <w:proofErr w:type="spellStart"/>
                  <w:r w:rsidR="00AD328C">
                    <w:t>kW·h</w:t>
                  </w:r>
                  <w:proofErr w:type="spellEnd"/>
                  <w:r w:rsidR="00AD328C">
                    <w:t xml:space="preserve"> of energy.</w:t>
                  </w:r>
                </w:p>
                <w:p w:rsidR="00AD328C" w:rsidRDefault="00AD328C" w:rsidP="00D86E85">
                  <w:pPr>
                    <w:pStyle w:val="ListParagraph"/>
                    <w:numPr>
                      <w:ilvl w:val="0"/>
                      <w:numId w:val="9"/>
                    </w:numPr>
                    <w:ind w:left="360"/>
                  </w:pPr>
                  <w:r>
                    <w:t>Indicates the type and capacity range of comparable models.</w:t>
                  </w:r>
                </w:p>
              </w:txbxContent>
            </v:textbox>
          </v:shape>
        </w:pict>
      </w: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D86E85" w:rsidP="00173FF2">
      <w:pPr>
        <w:spacing w:after="0" w:line="240" w:lineRule="auto"/>
      </w:pPr>
    </w:p>
    <w:p w:rsidR="00D86E85" w:rsidRDefault="00AD328C" w:rsidP="00173FF2">
      <w:pPr>
        <w:spacing w:after="0" w:line="240" w:lineRule="auto"/>
      </w:pPr>
      <w:r>
        <w:t>When comparing different models, you need to make sure that you are comparing data from comparable appliances.  For example, a larger fridge will normally have a higher energy usage than a smaller fridge because it a larger volume to keep cool.</w:t>
      </w:r>
    </w:p>
    <w:p w:rsidR="00D86E85" w:rsidRDefault="00D86E85" w:rsidP="00173FF2">
      <w:pPr>
        <w:spacing w:after="0" w:line="240" w:lineRule="auto"/>
      </w:pPr>
    </w:p>
    <w:p w:rsidR="0039058A" w:rsidRDefault="00173FF2" w:rsidP="00173FF2">
      <w:pPr>
        <w:spacing w:after="0" w:line="240" w:lineRule="auto"/>
      </w:pPr>
      <w:r>
        <w:t>Homework</w:t>
      </w:r>
      <w:r>
        <w:tab/>
        <w:t>Check Your Understanding 11.</w:t>
      </w:r>
      <w:r w:rsidR="00AD328C">
        <w:t>4</w:t>
      </w:r>
      <w:r>
        <w:t xml:space="preserve"> (pg. </w:t>
      </w:r>
      <w:r w:rsidR="00AF3492">
        <w:t>3</w:t>
      </w:r>
      <w:r w:rsidR="00AD328C">
        <w:t>54</w:t>
      </w:r>
      <w:r>
        <w:t>) #</w:t>
      </w:r>
      <w:r w:rsidR="00AD328C">
        <w:t>1-8, 10-12</w:t>
      </w:r>
    </w:p>
    <w:p w:rsidR="0039058A" w:rsidRDefault="00AF3492" w:rsidP="0039058A">
      <w:pPr>
        <w:spacing w:after="0" w:line="240" w:lineRule="auto"/>
      </w:pPr>
      <w:r>
        <w:tab/>
      </w:r>
      <w:r>
        <w:tab/>
      </w:r>
      <w:r w:rsidR="00AD328C">
        <w:t xml:space="preserve">How to Read a Meter </w:t>
      </w:r>
      <w:r>
        <w:t>Worksheet</w:t>
      </w:r>
    </w:p>
    <w:p w:rsidR="00AD328C" w:rsidRPr="00DA4F90" w:rsidRDefault="00AD328C" w:rsidP="0039058A">
      <w:pPr>
        <w:spacing w:after="0" w:line="240" w:lineRule="auto"/>
      </w:pPr>
      <w:r>
        <w:tab/>
      </w:r>
      <w:r>
        <w:tab/>
        <w:t>Electricity Use Problems Worksheet</w:t>
      </w:r>
    </w:p>
    <w:sectPr w:rsidR="00AD328C" w:rsidRPr="00DA4F90" w:rsidSect="00896B0A">
      <w:headerReference w:type="defaul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779" w:rsidRDefault="001F5779" w:rsidP="001F5779">
      <w:pPr>
        <w:spacing w:after="0" w:line="240" w:lineRule="auto"/>
      </w:pPr>
      <w:r>
        <w:separator/>
      </w:r>
    </w:p>
  </w:endnote>
  <w:endnote w:type="continuationSeparator" w:id="0">
    <w:p w:rsidR="001F5779" w:rsidRDefault="001F5779" w:rsidP="001F57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779" w:rsidRDefault="001F5779" w:rsidP="001F5779">
      <w:pPr>
        <w:spacing w:after="0" w:line="240" w:lineRule="auto"/>
      </w:pPr>
      <w:r>
        <w:separator/>
      </w:r>
    </w:p>
  </w:footnote>
  <w:footnote w:type="continuationSeparator" w:id="0">
    <w:p w:rsidR="001F5779" w:rsidRDefault="001F5779" w:rsidP="001F57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779" w:rsidRDefault="00F77326">
    <w:pPr>
      <w:pStyle w:val="Header"/>
    </w:pPr>
    <w:r>
      <w:t>Lesson 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B0F"/>
    <w:multiLevelType w:val="hybridMultilevel"/>
    <w:tmpl w:val="810AF0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327061"/>
    <w:multiLevelType w:val="hybridMultilevel"/>
    <w:tmpl w:val="0E369CF8"/>
    <w:lvl w:ilvl="0" w:tplc="10090001">
      <w:start w:val="1"/>
      <w:numFmt w:val="bullet"/>
      <w:lvlText w:val=""/>
      <w:lvlJc w:val="left"/>
      <w:pPr>
        <w:ind w:left="750" w:hanging="360"/>
      </w:pPr>
      <w:rPr>
        <w:rFonts w:ascii="Symbol" w:hAnsi="Symbol" w:hint="default"/>
      </w:rPr>
    </w:lvl>
    <w:lvl w:ilvl="1" w:tplc="10090003" w:tentative="1">
      <w:start w:val="1"/>
      <w:numFmt w:val="bullet"/>
      <w:lvlText w:val="o"/>
      <w:lvlJc w:val="left"/>
      <w:pPr>
        <w:ind w:left="1470" w:hanging="360"/>
      </w:pPr>
      <w:rPr>
        <w:rFonts w:ascii="Courier New" w:hAnsi="Courier New" w:cs="Courier New" w:hint="default"/>
      </w:rPr>
    </w:lvl>
    <w:lvl w:ilvl="2" w:tplc="10090005" w:tentative="1">
      <w:start w:val="1"/>
      <w:numFmt w:val="bullet"/>
      <w:lvlText w:val=""/>
      <w:lvlJc w:val="left"/>
      <w:pPr>
        <w:ind w:left="2190" w:hanging="360"/>
      </w:pPr>
      <w:rPr>
        <w:rFonts w:ascii="Wingdings" w:hAnsi="Wingdings" w:hint="default"/>
      </w:rPr>
    </w:lvl>
    <w:lvl w:ilvl="3" w:tplc="10090001" w:tentative="1">
      <w:start w:val="1"/>
      <w:numFmt w:val="bullet"/>
      <w:lvlText w:val=""/>
      <w:lvlJc w:val="left"/>
      <w:pPr>
        <w:ind w:left="2910" w:hanging="360"/>
      </w:pPr>
      <w:rPr>
        <w:rFonts w:ascii="Symbol" w:hAnsi="Symbol" w:hint="default"/>
      </w:rPr>
    </w:lvl>
    <w:lvl w:ilvl="4" w:tplc="10090003" w:tentative="1">
      <w:start w:val="1"/>
      <w:numFmt w:val="bullet"/>
      <w:lvlText w:val="o"/>
      <w:lvlJc w:val="left"/>
      <w:pPr>
        <w:ind w:left="3630" w:hanging="360"/>
      </w:pPr>
      <w:rPr>
        <w:rFonts w:ascii="Courier New" w:hAnsi="Courier New" w:cs="Courier New" w:hint="default"/>
      </w:rPr>
    </w:lvl>
    <w:lvl w:ilvl="5" w:tplc="10090005" w:tentative="1">
      <w:start w:val="1"/>
      <w:numFmt w:val="bullet"/>
      <w:lvlText w:val=""/>
      <w:lvlJc w:val="left"/>
      <w:pPr>
        <w:ind w:left="4350" w:hanging="360"/>
      </w:pPr>
      <w:rPr>
        <w:rFonts w:ascii="Wingdings" w:hAnsi="Wingdings" w:hint="default"/>
      </w:rPr>
    </w:lvl>
    <w:lvl w:ilvl="6" w:tplc="10090001" w:tentative="1">
      <w:start w:val="1"/>
      <w:numFmt w:val="bullet"/>
      <w:lvlText w:val=""/>
      <w:lvlJc w:val="left"/>
      <w:pPr>
        <w:ind w:left="5070" w:hanging="360"/>
      </w:pPr>
      <w:rPr>
        <w:rFonts w:ascii="Symbol" w:hAnsi="Symbol" w:hint="default"/>
      </w:rPr>
    </w:lvl>
    <w:lvl w:ilvl="7" w:tplc="10090003" w:tentative="1">
      <w:start w:val="1"/>
      <w:numFmt w:val="bullet"/>
      <w:lvlText w:val="o"/>
      <w:lvlJc w:val="left"/>
      <w:pPr>
        <w:ind w:left="5790" w:hanging="360"/>
      </w:pPr>
      <w:rPr>
        <w:rFonts w:ascii="Courier New" w:hAnsi="Courier New" w:cs="Courier New" w:hint="default"/>
      </w:rPr>
    </w:lvl>
    <w:lvl w:ilvl="8" w:tplc="10090005" w:tentative="1">
      <w:start w:val="1"/>
      <w:numFmt w:val="bullet"/>
      <w:lvlText w:val=""/>
      <w:lvlJc w:val="left"/>
      <w:pPr>
        <w:ind w:left="6510" w:hanging="360"/>
      </w:pPr>
      <w:rPr>
        <w:rFonts w:ascii="Wingdings" w:hAnsi="Wingdings" w:hint="default"/>
      </w:rPr>
    </w:lvl>
  </w:abstractNum>
  <w:abstractNum w:abstractNumId="2">
    <w:nsid w:val="40437988"/>
    <w:multiLevelType w:val="hybridMultilevel"/>
    <w:tmpl w:val="61CC37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537615FB"/>
    <w:multiLevelType w:val="hybridMultilevel"/>
    <w:tmpl w:val="F8B254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A2A3FFA"/>
    <w:multiLevelType w:val="hybridMultilevel"/>
    <w:tmpl w:val="E0F0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AC16B00"/>
    <w:multiLevelType w:val="hybridMultilevel"/>
    <w:tmpl w:val="62C0D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CD02DB9"/>
    <w:multiLevelType w:val="hybridMultilevel"/>
    <w:tmpl w:val="80B079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1FA51DC"/>
    <w:multiLevelType w:val="hybridMultilevel"/>
    <w:tmpl w:val="603412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2FB58A9"/>
    <w:multiLevelType w:val="hybridMultilevel"/>
    <w:tmpl w:val="0860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3"/>
  </w:num>
  <w:num w:numId="6">
    <w:abstractNumId w:val="5"/>
  </w:num>
  <w:num w:numId="7">
    <w:abstractNumId w:val="0"/>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414AFD"/>
    <w:rsid w:val="00027282"/>
    <w:rsid w:val="00173FF2"/>
    <w:rsid w:val="001F5779"/>
    <w:rsid w:val="002E5791"/>
    <w:rsid w:val="002E72C8"/>
    <w:rsid w:val="003335ED"/>
    <w:rsid w:val="0039058A"/>
    <w:rsid w:val="003A211C"/>
    <w:rsid w:val="003D42AB"/>
    <w:rsid w:val="00414AFD"/>
    <w:rsid w:val="005A3CC0"/>
    <w:rsid w:val="00696D31"/>
    <w:rsid w:val="00766AE9"/>
    <w:rsid w:val="007A4DC2"/>
    <w:rsid w:val="00896B0A"/>
    <w:rsid w:val="009131AE"/>
    <w:rsid w:val="009E4759"/>
    <w:rsid w:val="00A04EF7"/>
    <w:rsid w:val="00A076CB"/>
    <w:rsid w:val="00A4673A"/>
    <w:rsid w:val="00AA1043"/>
    <w:rsid w:val="00AD328C"/>
    <w:rsid w:val="00AF3492"/>
    <w:rsid w:val="00CD4E3D"/>
    <w:rsid w:val="00D03A80"/>
    <w:rsid w:val="00D86E85"/>
    <w:rsid w:val="00DA4F90"/>
    <w:rsid w:val="00E07DB8"/>
    <w:rsid w:val="00E11145"/>
    <w:rsid w:val="00E401E6"/>
    <w:rsid w:val="00E94C6D"/>
    <w:rsid w:val="00EB58EF"/>
    <w:rsid w:val="00F77326"/>
    <w:rsid w:val="00FD0AE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B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AFD"/>
    <w:pPr>
      <w:ind w:left="720"/>
      <w:contextualSpacing/>
    </w:pPr>
  </w:style>
  <w:style w:type="character" w:styleId="PlaceholderText">
    <w:name w:val="Placeholder Text"/>
    <w:basedOn w:val="DefaultParagraphFont"/>
    <w:uiPriority w:val="99"/>
    <w:semiHidden/>
    <w:rsid w:val="00DA4F90"/>
    <w:rPr>
      <w:color w:val="808080"/>
    </w:rPr>
  </w:style>
  <w:style w:type="paragraph" w:styleId="BalloonText">
    <w:name w:val="Balloon Text"/>
    <w:basedOn w:val="Normal"/>
    <w:link w:val="BalloonTextChar"/>
    <w:uiPriority w:val="99"/>
    <w:semiHidden/>
    <w:unhideWhenUsed/>
    <w:rsid w:val="00DA4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F90"/>
    <w:rPr>
      <w:rFonts w:ascii="Tahoma" w:hAnsi="Tahoma" w:cs="Tahoma"/>
      <w:sz w:val="16"/>
      <w:szCs w:val="16"/>
    </w:rPr>
  </w:style>
  <w:style w:type="paragraph" w:styleId="Header">
    <w:name w:val="header"/>
    <w:basedOn w:val="Normal"/>
    <w:link w:val="HeaderChar"/>
    <w:uiPriority w:val="99"/>
    <w:semiHidden/>
    <w:unhideWhenUsed/>
    <w:rsid w:val="001F57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F5779"/>
  </w:style>
  <w:style w:type="paragraph" w:styleId="Footer">
    <w:name w:val="footer"/>
    <w:basedOn w:val="Normal"/>
    <w:link w:val="FooterChar"/>
    <w:uiPriority w:val="99"/>
    <w:semiHidden/>
    <w:unhideWhenUsed/>
    <w:rsid w:val="001F57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7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35202-D272-4FFB-8693-AAA2F6E43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Hunter</dc:creator>
  <cp:keywords/>
  <dc:description/>
  <cp:lastModifiedBy>Schools in SD57</cp:lastModifiedBy>
  <cp:revision>3</cp:revision>
  <dcterms:created xsi:type="dcterms:W3CDTF">2011-12-08T22:27:00Z</dcterms:created>
  <dcterms:modified xsi:type="dcterms:W3CDTF">2011-12-08T23:06:00Z</dcterms:modified>
</cp:coreProperties>
</file>